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1C8" w:rsidRDefault="00060D4F">
      <w:pPr>
        <w:rPr>
          <w:b/>
          <w:sz w:val="32"/>
          <w:szCs w:val="32"/>
        </w:rPr>
      </w:pPr>
      <w:r w:rsidRPr="00D74EFD">
        <w:rPr>
          <w:b/>
          <w:sz w:val="32"/>
          <w:szCs w:val="32"/>
        </w:rPr>
        <w:t>Requests for Proposals (RFPs)</w:t>
      </w:r>
    </w:p>
    <w:p w:rsidR="00A94615" w:rsidRDefault="00A94615" w:rsidP="006F38DB">
      <w:pPr>
        <w:spacing w:before="100" w:beforeAutospacing="1" w:after="100" w:afterAutospacing="1" w:line="240" w:lineRule="auto"/>
        <w:outlineLvl w:val="0"/>
        <w:rPr>
          <w:rFonts w:eastAsia="Times New Roman" w:cstheme="minorHAnsi"/>
          <w:b/>
          <w:bCs/>
          <w:kern w:val="36"/>
        </w:rPr>
      </w:pPr>
    </w:p>
    <w:p w:rsidR="006F38DB" w:rsidRPr="006F38DB" w:rsidRDefault="006F38DB" w:rsidP="006F38DB">
      <w:pPr>
        <w:spacing w:before="100" w:beforeAutospacing="1" w:after="100" w:afterAutospacing="1" w:line="240" w:lineRule="auto"/>
        <w:outlineLvl w:val="0"/>
        <w:rPr>
          <w:rFonts w:eastAsia="Times New Roman" w:cstheme="minorHAnsi"/>
          <w:b/>
          <w:bCs/>
          <w:kern w:val="36"/>
        </w:rPr>
      </w:pPr>
      <w:r w:rsidRPr="006F38DB">
        <w:rPr>
          <w:rFonts w:eastAsia="Times New Roman" w:cstheme="minorHAnsi"/>
          <w:b/>
          <w:bCs/>
          <w:kern w:val="36"/>
        </w:rPr>
        <w:t>McKnight Endowment Fund for Neuroscience Seeks Applications for 2018 Technology Awards</w:t>
      </w:r>
    </w:p>
    <w:p w:rsidR="006F38DB" w:rsidRPr="006F38DB" w:rsidRDefault="006F38DB" w:rsidP="006F38DB">
      <w:pPr>
        <w:spacing w:after="0" w:line="240" w:lineRule="auto"/>
        <w:rPr>
          <w:rFonts w:eastAsia="Times New Roman" w:cstheme="minorHAnsi"/>
        </w:rPr>
      </w:pPr>
      <w:r w:rsidRPr="006F38DB">
        <w:rPr>
          <w:rFonts w:eastAsia="Times New Roman" w:cstheme="minorHAnsi"/>
        </w:rPr>
        <w:t xml:space="preserve">Deadline: December 10, 2018 (Letters of Intent) </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 xml:space="preserve">The </w:t>
      </w:r>
      <w:hyperlink r:id="rId8" w:tgtFrame="_self" w:history="1">
        <w:r w:rsidRPr="006F38DB">
          <w:rPr>
            <w:rFonts w:eastAsia="Times New Roman" w:cstheme="minorHAnsi"/>
            <w:color w:val="0000FF"/>
            <w:u w:val="single"/>
          </w:rPr>
          <w:t>McKnight Endowment Fund for Neuroscience</w:t>
        </w:r>
      </w:hyperlink>
      <w:r w:rsidRPr="006F38DB">
        <w:rPr>
          <w:rFonts w:eastAsia="Times New Roman" w:cstheme="minorHAnsi"/>
        </w:rPr>
        <w:t xml:space="preserve"> supports innovative research designed to bring science closer to the day when diseases of the brain can be accurately diagnosed, prevented, and treated. To this end, the McKnight Endowment Fund for Neuroscience is inviting Letters of Intent for the 2018 McKnight Technological Innovations in Neuroscience awards.</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The program encourages and supports scientists working on the development of novel and creative approaches to understanding brain function. The foundation is interested in how a new technology may be used to monitor, manipulate, analyze, or model brain function at any level, from the molecular to the entire organism. Technology may take any form, from biochemical tools to instruments to software and mathematical approaches. Because the program seeks to advance and enlarge the range of technologies available to the neurosciences, research based primarily on existing techniques will not be considered.</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A goal of the program is to foster collaboration between the neurosciences and other disciplines; therefore, proposals for collaborative and cross-disciplinary applications are explicitly invited.</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In 2019, up to three grants will be awarded, each providing $100,000 per year for two years.</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To be eligible, applicants must hold a full-time appointment at the rank of assistant professor or higher (e.g., associate professor or professor at institutions within the United States). Scientists holding other titles such as research professor, adjunct professor, professor research track, visiting professor, or instructor are not eligible. Applicants may not be employees of the Howard Hughes Medical Institute or scientists within the Intramural Research Program of the National Institutes of Health.</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Letters of Intent must be received no later than December 10. Upon review, selected applicants will be invited to submit a full application by April 22, 2019.</w:t>
      </w:r>
    </w:p>
    <w:p w:rsid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For complete program guidelines, information about previous award recipient projects, and application procedures, see the McKnight Endowment website.</w:t>
      </w:r>
    </w:p>
    <w:p w:rsidR="00D40AE6" w:rsidRPr="00D40AE6" w:rsidRDefault="00D40AE6" w:rsidP="00D40AE6">
      <w:pPr>
        <w:spacing w:before="100" w:beforeAutospacing="1" w:after="100" w:afterAutospacing="1" w:line="240" w:lineRule="auto"/>
        <w:outlineLvl w:val="0"/>
        <w:rPr>
          <w:rFonts w:eastAsia="Times New Roman" w:cstheme="minorHAnsi"/>
          <w:b/>
          <w:bCs/>
          <w:kern w:val="36"/>
        </w:rPr>
      </w:pPr>
      <w:r w:rsidRPr="00D40AE6">
        <w:rPr>
          <w:rFonts w:eastAsia="Times New Roman" w:cstheme="minorHAnsi"/>
          <w:b/>
          <w:bCs/>
          <w:kern w:val="36"/>
        </w:rPr>
        <w:t>Pancreatic Cancer Network Accepting Applications for Translational Research Program</w:t>
      </w:r>
    </w:p>
    <w:p w:rsidR="00D40AE6" w:rsidRPr="00D40AE6" w:rsidRDefault="00D40AE6" w:rsidP="00D40AE6">
      <w:pPr>
        <w:spacing w:after="0" w:line="240" w:lineRule="auto"/>
        <w:rPr>
          <w:rFonts w:eastAsia="Times New Roman" w:cstheme="minorHAnsi"/>
        </w:rPr>
      </w:pPr>
      <w:r w:rsidRPr="00D40AE6">
        <w:rPr>
          <w:rFonts w:eastAsia="Times New Roman" w:cstheme="minorHAnsi"/>
        </w:rPr>
        <w:t xml:space="preserve">Deadline: December 21, 2018 </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 xml:space="preserve">The </w:t>
      </w:r>
      <w:hyperlink r:id="rId9" w:tgtFrame="_self" w:history="1">
        <w:r w:rsidRPr="00D40AE6">
          <w:rPr>
            <w:rFonts w:eastAsia="Times New Roman" w:cstheme="minorHAnsi"/>
            <w:color w:val="0000FF"/>
            <w:u w:val="single"/>
          </w:rPr>
          <w:t>Pancreatic Cancer Action</w:t>
        </w:r>
      </w:hyperlink>
      <w:r w:rsidRPr="00D40AE6">
        <w:rPr>
          <w:rFonts w:eastAsia="Times New Roman" w:cstheme="minorHAnsi"/>
        </w:rPr>
        <w:t xml:space="preserve"> Network is accepting applications for its 2019 Pancreatic Cancer Action Network Translational Research Grant program.</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Through the program, grants of up to $500,000 over two years will be awarded in support of high-priority pancreatic cancer research on the threshold of important translational next steps.</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This year, PCAN has partnered with the Celgene Corporation to accelerate the development of novel therapies by establishing strong relationships between academia and industry through research grants. Funded projects will benefit from industry input and insight, leading to an accelerated translation to a therapeutic product.</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Projects should aim to identify novel targets and approaches to the treatment of pancreatic cancer or understand and circumvent treatment resistance. Of particular interest are projects that fall into at least one of these three areas of research: a) immune context and tumor micro-environment interactions; (b) regulators of pathogenesis, progression, and metabolism, with particular interest in epigenetic mechanisms; and (c) transcriptional networks essential for viability and maintenance of malignant phenotype.</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 xml:space="preserve">To be eligible, applicants must have a doctoral degree (PhD, MD, DO, DC, ND, DDS, DVM, ScD, DNS, </w:t>
      </w:r>
      <w:proofErr w:type="spellStart"/>
      <w:r w:rsidRPr="00D40AE6">
        <w:rPr>
          <w:rFonts w:eastAsia="Times New Roman" w:cstheme="minorHAnsi"/>
        </w:rPr>
        <w:t>PharmD</w:t>
      </w:r>
      <w:proofErr w:type="spellEnd"/>
      <w:r w:rsidRPr="00D40AE6">
        <w:rPr>
          <w:rFonts w:eastAsia="Times New Roman" w:cstheme="minorHAnsi"/>
        </w:rPr>
        <w:t>, or equivalent) in the biomedical sciences or in a field applicable to health science research and not currently be a candidate for a further doctoral degree. In addition, the contact principal investigator must be affiliated with an accredited academic, medical, or research institution. International institutions are included.</w:t>
      </w:r>
    </w:p>
    <w:p w:rsidR="00D40AE6" w:rsidRPr="00D40AE6" w:rsidRDefault="00D40AE6" w:rsidP="00D40AE6">
      <w:pPr>
        <w:spacing w:before="100" w:beforeAutospacing="1" w:after="100" w:afterAutospacing="1" w:line="240" w:lineRule="auto"/>
        <w:rPr>
          <w:rFonts w:cstheme="minorHAnsi"/>
          <w:b/>
        </w:rPr>
      </w:pPr>
      <w:r w:rsidRPr="00D40AE6">
        <w:rPr>
          <w:rFonts w:cstheme="minorHAnsi"/>
          <w:b/>
        </w:rPr>
        <w:t>William T. Grant Foundation Seeks Applications for Inequality Research Grants</w:t>
      </w:r>
    </w:p>
    <w:p w:rsidR="00D40AE6" w:rsidRPr="00D40AE6" w:rsidRDefault="00D40AE6" w:rsidP="00D40AE6">
      <w:pPr>
        <w:rPr>
          <w:rFonts w:cstheme="minorHAnsi"/>
        </w:rPr>
      </w:pPr>
      <w:r w:rsidRPr="00D40AE6">
        <w:rPr>
          <w:rFonts w:cstheme="minorHAnsi"/>
        </w:rPr>
        <w:t xml:space="preserve">Deadline: January 9, 2019 </w:t>
      </w:r>
    </w:p>
    <w:p w:rsidR="00D40AE6" w:rsidRP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 xml:space="preserve">In recent years, inequality in the United States has become pervasive. At the same time, prospects for social mobility have decreased. The </w:t>
      </w:r>
      <w:hyperlink r:id="rId10" w:tgtFrame="_self" w:history="1">
        <w:r w:rsidRPr="00D40AE6">
          <w:rPr>
            <w:rStyle w:val="Hyperlink"/>
            <w:rFonts w:asciiTheme="minorHAnsi" w:hAnsiTheme="minorHAnsi" w:cstheme="minorHAnsi"/>
            <w:sz w:val="22"/>
            <w:szCs w:val="22"/>
          </w:rPr>
          <w:t>William T. Grant Foundation</w:t>
        </w:r>
      </w:hyperlink>
      <w:r w:rsidRPr="00D40AE6">
        <w:rPr>
          <w:rFonts w:asciiTheme="minorHAnsi" w:hAnsiTheme="minorHAnsi" w:cstheme="minorHAnsi"/>
          <w:sz w:val="22"/>
          <w:szCs w:val="22"/>
        </w:rPr>
        <w:t xml:space="preserve"> believes that the research community can play a critical role in reversing these trends.</w:t>
      </w:r>
    </w:p>
    <w:p w:rsidR="00D40AE6" w:rsidRP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To that end, the foundation, which seeks to improve the lives of youth between the ages 5 and 25, is accepting applications in support of research projects designed to advance understanding in the area of inequalities in youth development and/or increase understanding of how research is acquired, understood, and used, as well as the circumstances that shape its use in decision making.</w:t>
      </w:r>
    </w:p>
    <w:p w:rsidR="00D40AE6" w:rsidRP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Through its Research program, the foundation will award grants of up to $600,000 in support of research focused on ways to reduce disparities in academic, behavioral, social, and economic outcomes among youth. Priority will be given to projects related to inequality on the basis of economic, racial/ethnic, and language background, but research that explores other areas of inequality will also be considered (based on a compelling case for its impact).</w:t>
      </w:r>
    </w:p>
    <w:p w:rsidR="00D40AE6" w:rsidRP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To be eligible, organizations must be considered tax exempt under Section 501(c</w:t>
      </w:r>
      <w:proofErr w:type="gramStart"/>
      <w:r w:rsidRPr="00D40AE6">
        <w:rPr>
          <w:rFonts w:asciiTheme="minorHAnsi" w:hAnsiTheme="minorHAnsi" w:cstheme="minorHAnsi"/>
          <w:sz w:val="22"/>
          <w:szCs w:val="22"/>
        </w:rPr>
        <w:t>)(</w:t>
      </w:r>
      <w:proofErr w:type="gramEnd"/>
      <w:r w:rsidRPr="00D40AE6">
        <w:rPr>
          <w:rFonts w:asciiTheme="minorHAnsi" w:hAnsiTheme="minorHAnsi" w:cstheme="minorHAnsi"/>
          <w:sz w:val="22"/>
          <w:szCs w:val="22"/>
        </w:rPr>
        <w:t>3) of the Internal Revenue Code.</w:t>
      </w:r>
    </w:p>
    <w:p w:rsidR="00D40AE6" w:rsidRPr="00D40AE6" w:rsidRDefault="00D40AE6" w:rsidP="00D40AE6">
      <w:pPr>
        <w:pStyle w:val="Heading1"/>
        <w:rPr>
          <w:rFonts w:asciiTheme="minorHAnsi" w:hAnsiTheme="minorHAnsi" w:cstheme="minorHAnsi"/>
          <w:sz w:val="22"/>
          <w:szCs w:val="22"/>
        </w:rPr>
      </w:pPr>
      <w:r w:rsidRPr="00D40AE6">
        <w:rPr>
          <w:rFonts w:asciiTheme="minorHAnsi" w:hAnsiTheme="minorHAnsi" w:cstheme="minorHAnsi"/>
          <w:sz w:val="22"/>
          <w:szCs w:val="22"/>
        </w:rPr>
        <w:t>Kress Foundation Invites Applications for Scholarly European Art Projects</w:t>
      </w:r>
    </w:p>
    <w:p w:rsidR="00D40AE6" w:rsidRPr="00D40AE6" w:rsidRDefault="00D40AE6" w:rsidP="00D40AE6">
      <w:pPr>
        <w:rPr>
          <w:rFonts w:cstheme="minorHAnsi"/>
        </w:rPr>
      </w:pPr>
      <w:r w:rsidRPr="00D40AE6">
        <w:rPr>
          <w:rFonts w:cstheme="minorHAnsi"/>
        </w:rPr>
        <w:t xml:space="preserve">Deadline: January 15, 2019 </w:t>
      </w:r>
    </w:p>
    <w:p w:rsidR="00D40AE6" w:rsidRP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The </w:t>
      </w:r>
      <w:hyperlink r:id="rId11" w:tgtFrame="_self" w:history="1">
        <w:r w:rsidRPr="00D40AE6">
          <w:rPr>
            <w:rStyle w:val="Hyperlink"/>
            <w:rFonts w:asciiTheme="minorHAnsi" w:hAnsiTheme="minorHAnsi" w:cstheme="minorHAnsi"/>
            <w:sz w:val="22"/>
            <w:szCs w:val="22"/>
          </w:rPr>
          <w:t>Samuel H. Kress Foundation</w:t>
        </w:r>
      </w:hyperlink>
      <w:r w:rsidRPr="00D40AE6">
        <w:rPr>
          <w:rFonts w:asciiTheme="minorHAnsi" w:hAnsiTheme="minorHAnsi" w:cstheme="minorHAnsi"/>
          <w:sz w:val="22"/>
          <w:szCs w:val="22"/>
        </w:rPr>
        <w:t xml:space="preserve"> is accepting applications from nonprofit organizations for scholarly projects that will enhance the appreciation and understanding of European art and architecture.</w:t>
      </w:r>
    </w:p>
    <w:p w:rsidR="00D40AE6" w:rsidRP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Grants are awarded to projects that create and disseminate specialized knowledge, including archival projects, the development and dissemination of scholarly databases, documentation projects, museum exhibitions and publications, photographic campaigns, scholarly catalogs and publications, and technical and scientific studies. The program also supports activities that permit art historians to share their expertise through international exchanges, professional meetings, conferences, symposia, consultations, the presentation of research, and other professional events.</w:t>
      </w:r>
    </w:p>
    <w:p w:rsidR="00D40AE6" w:rsidRP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In previous years, grant amounts have ranged from $1,000 to $100,000.</w:t>
      </w:r>
    </w:p>
    <w:p w:rsidR="00D40AE6" w:rsidRDefault="00D40AE6" w:rsidP="00D40AE6">
      <w:pPr>
        <w:pStyle w:val="NormalWeb"/>
        <w:rPr>
          <w:rFonts w:asciiTheme="minorHAnsi" w:hAnsiTheme="minorHAnsi" w:cstheme="minorHAnsi"/>
          <w:sz w:val="22"/>
          <w:szCs w:val="22"/>
        </w:rPr>
      </w:pPr>
      <w:r w:rsidRPr="00D40AE6">
        <w:rPr>
          <w:rFonts w:asciiTheme="minorHAnsi" w:hAnsiTheme="minorHAnsi" w:cstheme="minorHAnsi"/>
          <w:sz w:val="22"/>
          <w:szCs w:val="22"/>
        </w:rPr>
        <w:t>To be eligible, nonprofit organizations, including supporting foundations of European institutions, must be recognized as tax exempt under Section 501(c</w:t>
      </w:r>
      <w:proofErr w:type="gramStart"/>
      <w:r w:rsidRPr="00D40AE6">
        <w:rPr>
          <w:rFonts w:asciiTheme="minorHAnsi" w:hAnsiTheme="minorHAnsi" w:cstheme="minorHAnsi"/>
          <w:sz w:val="22"/>
          <w:szCs w:val="22"/>
        </w:rPr>
        <w:t>)(</w:t>
      </w:r>
      <w:proofErr w:type="gramEnd"/>
      <w:r w:rsidRPr="00D40AE6">
        <w:rPr>
          <w:rFonts w:asciiTheme="minorHAnsi" w:hAnsiTheme="minorHAnsi" w:cstheme="minorHAnsi"/>
          <w:sz w:val="22"/>
          <w:szCs w:val="22"/>
        </w:rPr>
        <w:t>3) of the Internal Revenue Code.</w:t>
      </w:r>
    </w:p>
    <w:p w:rsidR="00A94615" w:rsidRPr="00A94615" w:rsidRDefault="00A94615" w:rsidP="00A94615">
      <w:pPr>
        <w:pStyle w:val="Heading1"/>
        <w:rPr>
          <w:rFonts w:asciiTheme="minorHAnsi" w:hAnsiTheme="minorHAnsi" w:cstheme="minorHAnsi"/>
          <w:sz w:val="22"/>
          <w:szCs w:val="22"/>
        </w:rPr>
      </w:pPr>
      <w:r w:rsidRPr="00A94615">
        <w:rPr>
          <w:rFonts w:asciiTheme="minorHAnsi" w:hAnsiTheme="minorHAnsi" w:cstheme="minorHAnsi"/>
          <w:sz w:val="22"/>
          <w:szCs w:val="22"/>
        </w:rPr>
        <w:t>Whitehall Foundation Invites LOIs for Bioscience Research Projects</w:t>
      </w:r>
    </w:p>
    <w:p w:rsidR="00A94615" w:rsidRPr="00A94615" w:rsidRDefault="00A94615" w:rsidP="00A94615">
      <w:pPr>
        <w:rPr>
          <w:rFonts w:cstheme="minorHAnsi"/>
        </w:rPr>
      </w:pPr>
      <w:r w:rsidRPr="00A94615">
        <w:rPr>
          <w:rFonts w:cstheme="minorHAnsi"/>
        </w:rPr>
        <w:t xml:space="preserve">Deadline: January 15, 2019 </w:t>
      </w:r>
    </w:p>
    <w:p w:rsidR="00A94615" w:rsidRPr="00A94615" w:rsidRDefault="00A94615" w:rsidP="00A94615">
      <w:pPr>
        <w:pStyle w:val="NormalWeb"/>
        <w:rPr>
          <w:rFonts w:asciiTheme="minorHAnsi" w:hAnsiTheme="minorHAnsi" w:cstheme="minorHAnsi"/>
          <w:sz w:val="22"/>
          <w:szCs w:val="22"/>
        </w:rPr>
      </w:pPr>
      <w:r w:rsidRPr="00A94615">
        <w:rPr>
          <w:rFonts w:asciiTheme="minorHAnsi" w:hAnsiTheme="minorHAnsi" w:cstheme="minorHAnsi"/>
          <w:sz w:val="22"/>
          <w:szCs w:val="22"/>
        </w:rPr>
        <w:t>The </w:t>
      </w:r>
      <w:hyperlink r:id="rId12" w:tgtFrame="_self" w:history="1">
        <w:r w:rsidRPr="00A94615">
          <w:rPr>
            <w:rStyle w:val="Hyperlink"/>
            <w:rFonts w:asciiTheme="minorHAnsi" w:hAnsiTheme="minorHAnsi" w:cstheme="minorHAnsi"/>
            <w:sz w:val="22"/>
            <w:szCs w:val="22"/>
          </w:rPr>
          <w:t>Whitehall Foundation</w:t>
        </w:r>
      </w:hyperlink>
      <w:r w:rsidRPr="00A94615">
        <w:rPr>
          <w:rFonts w:asciiTheme="minorHAnsi" w:hAnsiTheme="minorHAnsi" w:cstheme="minorHAnsi"/>
          <w:sz w:val="22"/>
          <w:szCs w:val="22"/>
        </w:rPr>
        <w:t> works to advance scholarly research in the life sciences through its research grants and grants-in-aid programs. It is the foundation's policy to support dynamic areas of basic biological research that are not heavily supported by federal agencies or other foundations with specialized missions. The foundation emphasizes the support of young scientists at the beginning of their careers and productive senior scientists who wish to move into new fields of interest.</w:t>
      </w:r>
    </w:p>
    <w:p w:rsidR="00A94615" w:rsidRPr="00A94615" w:rsidRDefault="00A94615" w:rsidP="00A94615">
      <w:pPr>
        <w:pStyle w:val="NormalWeb"/>
        <w:rPr>
          <w:rFonts w:asciiTheme="minorHAnsi" w:hAnsiTheme="minorHAnsi" w:cstheme="minorHAnsi"/>
          <w:sz w:val="22"/>
          <w:szCs w:val="22"/>
        </w:rPr>
      </w:pPr>
      <w:r w:rsidRPr="00A94615">
        <w:rPr>
          <w:rFonts w:asciiTheme="minorHAnsi" w:hAnsiTheme="minorHAnsi" w:cstheme="minorHAnsi"/>
          <w:sz w:val="22"/>
          <w:szCs w:val="22"/>
        </w:rPr>
        <w:t>1) Research: Research grants of up to $225,000 over three years will be awarded to established scientists of all ages working at accredited institutions in the United States. Grants will not be awarded to investigators who have already received, or expect to receive, substantial support from other sources, even if it is for an unrelated purpose.</w:t>
      </w:r>
    </w:p>
    <w:p w:rsidR="00A94615" w:rsidRPr="00A94615" w:rsidRDefault="00A94615" w:rsidP="00A94615">
      <w:pPr>
        <w:pStyle w:val="NormalWeb"/>
        <w:rPr>
          <w:rFonts w:asciiTheme="minorHAnsi" w:hAnsiTheme="minorHAnsi" w:cstheme="minorHAnsi"/>
          <w:sz w:val="22"/>
          <w:szCs w:val="22"/>
        </w:rPr>
      </w:pPr>
      <w:r w:rsidRPr="00A94615">
        <w:rPr>
          <w:rFonts w:asciiTheme="minorHAnsi" w:hAnsiTheme="minorHAnsi" w:cstheme="minorHAnsi"/>
          <w:sz w:val="22"/>
          <w:szCs w:val="22"/>
        </w:rPr>
        <w:t>2) Grants-in-Aid: One-year grants of up to $30,000 will be awarded to researchers at the assistant professor level who experience difficulty in competing for research funds because they have not yet become firmly established. Grants-in-Aid can also be made to senior scientists.</w:t>
      </w:r>
    </w:p>
    <w:p w:rsidR="00A94615" w:rsidRPr="00A94615" w:rsidRDefault="00A94615" w:rsidP="00A94615">
      <w:pPr>
        <w:pStyle w:val="NormalWeb"/>
        <w:rPr>
          <w:rFonts w:asciiTheme="minorHAnsi" w:hAnsiTheme="minorHAnsi" w:cstheme="minorHAnsi"/>
          <w:sz w:val="22"/>
          <w:szCs w:val="22"/>
        </w:rPr>
      </w:pPr>
      <w:r w:rsidRPr="00A94615">
        <w:rPr>
          <w:rFonts w:asciiTheme="minorHAnsi" w:hAnsiTheme="minorHAnsi" w:cstheme="minorHAnsi"/>
          <w:sz w:val="22"/>
          <w:szCs w:val="22"/>
        </w:rPr>
        <w:t>To be eligible, applicants must hold the position of assistant professor or higher; have principal investigator status; and be considered an "independent investigator" with his/her own dedicated lab space or with lab space independent of another investigator.</w:t>
      </w:r>
    </w:p>
    <w:p w:rsidR="00A94615" w:rsidRPr="00A94615" w:rsidRDefault="00A94615" w:rsidP="00A94615">
      <w:pPr>
        <w:pStyle w:val="NormalWeb"/>
        <w:rPr>
          <w:rFonts w:asciiTheme="minorHAnsi" w:hAnsiTheme="minorHAnsi" w:cstheme="minorHAnsi"/>
          <w:sz w:val="22"/>
          <w:szCs w:val="22"/>
        </w:rPr>
      </w:pPr>
      <w:r w:rsidRPr="00A94615">
        <w:rPr>
          <w:rFonts w:asciiTheme="minorHAnsi" w:hAnsiTheme="minorHAnsi" w:cstheme="minorHAnsi"/>
          <w:sz w:val="22"/>
          <w:szCs w:val="22"/>
        </w:rPr>
        <w:t>Letters of Intent must be received no later than January 15, 2019. Upon review, selected applicants will be invited to submit a full application by June 1, 2019.</w:t>
      </w:r>
    </w:p>
    <w:p w:rsidR="00A94615" w:rsidRPr="00A94615" w:rsidRDefault="00A94615" w:rsidP="00A94615">
      <w:pPr>
        <w:pStyle w:val="NormalWeb"/>
        <w:rPr>
          <w:rFonts w:asciiTheme="minorHAnsi" w:hAnsiTheme="minorHAnsi" w:cstheme="minorHAnsi"/>
          <w:sz w:val="22"/>
          <w:szCs w:val="22"/>
        </w:rPr>
      </w:pPr>
      <w:r w:rsidRPr="00A94615">
        <w:rPr>
          <w:rFonts w:asciiTheme="minorHAnsi" w:hAnsiTheme="minorHAnsi" w:cstheme="minorHAnsi"/>
          <w:sz w:val="22"/>
          <w:szCs w:val="22"/>
        </w:rPr>
        <w:t>For complete program guidelines, information about previous grant recipients, and application procedures, see the Whitehall Foundation website.</w:t>
      </w:r>
    </w:p>
    <w:p w:rsidR="00D40AE6" w:rsidRPr="00D40AE6" w:rsidRDefault="00D40AE6" w:rsidP="00D40AE6">
      <w:pPr>
        <w:spacing w:before="100" w:beforeAutospacing="1" w:after="100" w:afterAutospacing="1" w:line="240" w:lineRule="auto"/>
        <w:outlineLvl w:val="0"/>
        <w:rPr>
          <w:rFonts w:eastAsia="Times New Roman" w:cstheme="minorHAnsi"/>
          <w:b/>
          <w:bCs/>
          <w:kern w:val="36"/>
        </w:rPr>
      </w:pPr>
      <w:r w:rsidRPr="00D40AE6">
        <w:rPr>
          <w:rFonts w:eastAsia="Times New Roman" w:cstheme="minorHAnsi"/>
          <w:b/>
          <w:bCs/>
          <w:kern w:val="36"/>
        </w:rPr>
        <w:t xml:space="preserve">Parkinson's </w:t>
      </w:r>
      <w:proofErr w:type="gramStart"/>
      <w:r w:rsidRPr="00D40AE6">
        <w:rPr>
          <w:rFonts w:eastAsia="Times New Roman" w:cstheme="minorHAnsi"/>
          <w:b/>
          <w:bCs/>
          <w:kern w:val="36"/>
        </w:rPr>
        <w:t>Disease</w:t>
      </w:r>
      <w:proofErr w:type="gramEnd"/>
      <w:r w:rsidRPr="00D40AE6">
        <w:rPr>
          <w:rFonts w:eastAsia="Times New Roman" w:cstheme="minorHAnsi"/>
          <w:b/>
          <w:bCs/>
          <w:kern w:val="36"/>
        </w:rPr>
        <w:t xml:space="preserve"> Foundation Invites Applications for Mentored Research</w:t>
      </w:r>
    </w:p>
    <w:p w:rsidR="00D40AE6" w:rsidRPr="00D40AE6" w:rsidRDefault="00D40AE6" w:rsidP="00D40AE6">
      <w:pPr>
        <w:spacing w:after="0" w:line="240" w:lineRule="auto"/>
        <w:rPr>
          <w:rFonts w:eastAsia="Times New Roman" w:cstheme="minorHAnsi"/>
        </w:rPr>
      </w:pPr>
      <w:r w:rsidRPr="00D40AE6">
        <w:rPr>
          <w:rFonts w:eastAsia="Times New Roman" w:cstheme="minorHAnsi"/>
        </w:rPr>
        <w:t xml:space="preserve">Deadline: January 18, 2019 </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 xml:space="preserve">The </w:t>
      </w:r>
      <w:hyperlink r:id="rId13" w:tgtFrame="_self" w:history="1">
        <w:r w:rsidRPr="00D40AE6">
          <w:rPr>
            <w:rFonts w:eastAsia="Times New Roman" w:cstheme="minorHAnsi"/>
            <w:color w:val="0000FF"/>
            <w:u w:val="single"/>
          </w:rPr>
          <w:t xml:space="preserve">Parkinson's </w:t>
        </w:r>
        <w:proofErr w:type="gramStart"/>
        <w:r w:rsidRPr="00D40AE6">
          <w:rPr>
            <w:rFonts w:eastAsia="Times New Roman" w:cstheme="minorHAnsi"/>
            <w:color w:val="0000FF"/>
            <w:u w:val="single"/>
          </w:rPr>
          <w:t>Disease</w:t>
        </w:r>
        <w:proofErr w:type="gramEnd"/>
        <w:r w:rsidRPr="00D40AE6">
          <w:rPr>
            <w:rFonts w:eastAsia="Times New Roman" w:cstheme="minorHAnsi"/>
            <w:color w:val="0000FF"/>
            <w:u w:val="single"/>
          </w:rPr>
          <w:t xml:space="preserve"> Foundation</w:t>
        </w:r>
      </w:hyperlink>
      <w:r w:rsidRPr="00D40AE6">
        <w:rPr>
          <w:rFonts w:eastAsia="Times New Roman" w:cstheme="minorHAnsi"/>
        </w:rPr>
        <w:t xml:space="preserve"> is inviting applications from new investigators for its PDF-PSG Mentored Clinical Research Award.</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A single grant of $50,000 will be awarded to a one-year project in patient-oriented research in Parkinson’s disease or other Parkinsonian disorders under the mentorship of an experienced investigator. The goal of the award is to provide funding for an investigator who has the potential to become an independent researcher.</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To be eligible, applicants should be a clinician or scientist within five years of having completed his or her formal training. Fellows may apply.</w:t>
      </w:r>
    </w:p>
    <w:p w:rsidR="006F38DB" w:rsidRPr="006F38DB" w:rsidRDefault="006F38DB" w:rsidP="006F38DB">
      <w:pPr>
        <w:spacing w:before="100" w:beforeAutospacing="1" w:after="100" w:afterAutospacing="1" w:line="240" w:lineRule="auto"/>
        <w:outlineLvl w:val="0"/>
        <w:rPr>
          <w:rFonts w:eastAsia="Times New Roman" w:cstheme="minorHAnsi"/>
          <w:b/>
          <w:bCs/>
          <w:kern w:val="36"/>
        </w:rPr>
      </w:pPr>
      <w:r w:rsidRPr="006F38DB">
        <w:rPr>
          <w:rFonts w:eastAsia="Times New Roman" w:cstheme="minorHAnsi"/>
          <w:b/>
          <w:bCs/>
          <w:kern w:val="36"/>
        </w:rPr>
        <w:t>PCORI Invites LOIs for Patient-Centered Healthcare Research</w:t>
      </w:r>
    </w:p>
    <w:p w:rsidR="006F38DB" w:rsidRPr="006F38DB" w:rsidRDefault="006F38DB" w:rsidP="006F38DB">
      <w:pPr>
        <w:spacing w:after="0" w:line="240" w:lineRule="auto"/>
        <w:rPr>
          <w:rFonts w:eastAsia="Times New Roman" w:cstheme="minorHAnsi"/>
        </w:rPr>
      </w:pPr>
      <w:r w:rsidRPr="006F38DB">
        <w:rPr>
          <w:rFonts w:eastAsia="Times New Roman" w:cstheme="minorHAnsi"/>
        </w:rPr>
        <w:t xml:space="preserve">Deadline: February 1, 2019 </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 xml:space="preserve">The </w:t>
      </w:r>
      <w:hyperlink r:id="rId14" w:tgtFrame="_self" w:history="1">
        <w:r w:rsidRPr="006F38DB">
          <w:rPr>
            <w:rFonts w:eastAsia="Times New Roman" w:cstheme="minorHAnsi"/>
            <w:color w:val="0000FF"/>
            <w:u w:val="single"/>
          </w:rPr>
          <w:t>Patient-Centered Outcomes Research Institute</w:t>
        </w:r>
      </w:hyperlink>
      <w:r w:rsidRPr="006F38DB">
        <w:rPr>
          <w:rFonts w:eastAsia="Times New Roman" w:cstheme="minorHAnsi"/>
        </w:rPr>
        <w:t xml:space="preserve"> helps people make informed healthcare decisions and improves healthcare delivery and outcomes by producing and promoting high-integrity evidence-based information that comes from research guided by patients, caregivers, and the broader healthcare community.</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PCORI currently is inviting Letters of Inquiry for its Eugene Washington PCORI Engagement Awards program. Through the program, the institute will award grants of up to $250,000 over two years to projects that encourage active integration of patients, caregivers, clinicians, and other healthcare stakeholders as integral members of the patient-centered outcomes research/clinical effectiveness research (PCOR/CER) enterprise.</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Applications may be submitted by any private or public-sector organization, including any nonprofit or for-profit organization or any unit of local, state, or federal government. All applicant nonprofit organizations in the United States must be recognized by the Internal Revenue Service. Non-domestic components of organizations based in the U.S. and foreign organizations may apply, as long as there is demonstrable benefit to the U.S. healthcare system, and U.S. efforts in the area of patient-centered research can be clearly shown.</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LOIs must be received no later than February 1, 2019. Upon review, selected applicants will be invited to submit a full application within forty days of receiving the invitation.</w:t>
      </w:r>
    </w:p>
    <w:p w:rsidR="006F38DB" w:rsidRPr="006F38DB" w:rsidRDefault="006F38DB" w:rsidP="006F38DB">
      <w:pPr>
        <w:spacing w:before="100" w:beforeAutospacing="1" w:after="100" w:afterAutospacing="1" w:line="240" w:lineRule="auto"/>
        <w:rPr>
          <w:rFonts w:eastAsia="Times New Roman" w:cstheme="minorHAnsi"/>
        </w:rPr>
      </w:pPr>
      <w:r w:rsidRPr="006F38DB">
        <w:rPr>
          <w:rFonts w:eastAsia="Times New Roman" w:cstheme="minorHAnsi"/>
        </w:rPr>
        <w:t>For complete program guidelines and application procedures, see the PCORI website.</w:t>
      </w:r>
    </w:p>
    <w:p w:rsidR="00D40AE6" w:rsidRPr="00D40AE6" w:rsidRDefault="00D40AE6" w:rsidP="00D40AE6">
      <w:pPr>
        <w:pStyle w:val="Heading1"/>
        <w:rPr>
          <w:rFonts w:asciiTheme="minorHAnsi" w:hAnsiTheme="minorHAnsi" w:cstheme="minorHAnsi"/>
          <w:sz w:val="22"/>
          <w:szCs w:val="22"/>
        </w:rPr>
      </w:pPr>
      <w:r w:rsidRPr="00D40AE6">
        <w:rPr>
          <w:rFonts w:asciiTheme="minorHAnsi" w:hAnsiTheme="minorHAnsi" w:cstheme="minorHAnsi"/>
          <w:sz w:val="22"/>
          <w:szCs w:val="22"/>
        </w:rPr>
        <w:t>Spencer Foundation Invites Proposals for Education Research Projects</w:t>
      </w:r>
    </w:p>
    <w:p w:rsidR="00D40AE6" w:rsidRPr="00D40AE6" w:rsidRDefault="00D40AE6" w:rsidP="00D40AE6">
      <w:pPr>
        <w:spacing w:after="0" w:line="240" w:lineRule="auto"/>
        <w:rPr>
          <w:rFonts w:eastAsia="Times New Roman" w:cstheme="minorHAnsi"/>
        </w:rPr>
      </w:pPr>
      <w:r w:rsidRPr="00D40AE6">
        <w:rPr>
          <w:rFonts w:eastAsia="Times New Roman" w:cstheme="minorHAnsi"/>
        </w:rPr>
        <w:t xml:space="preserve">Deadline: February 1, 2019 </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 xml:space="preserve">Established in 1962, the </w:t>
      </w:r>
      <w:hyperlink r:id="rId15" w:tgtFrame="_self" w:history="1">
        <w:r w:rsidRPr="00D40AE6">
          <w:rPr>
            <w:rFonts w:eastAsia="Times New Roman" w:cstheme="minorHAnsi"/>
            <w:color w:val="0000FF"/>
            <w:u w:val="single"/>
          </w:rPr>
          <w:t>Spencer Foundation</w:t>
        </w:r>
      </w:hyperlink>
      <w:r w:rsidRPr="00D40AE6">
        <w:rPr>
          <w:rFonts w:eastAsia="Times New Roman" w:cstheme="minorHAnsi"/>
        </w:rPr>
        <w:t xml:space="preserve"> is dedicated to the belief that research is necessary to the improvement of education. To that end, the foundation supports high-quality investigations of education through its research programs and the strengthening and renewal of the educational research community through its fellowship and training programs.</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Through its Small Research Grants Program, the foundation is accepting proposals for education research projects. In keeping with the foundation’s mission, the program aims to fund academic work that will contribute to the improvement of education, broadly conceived. Examples of previously funded projects include an experimental study of how college students use visual representations in solving math problems; a study exploring the process of racial and rural identity formation among African-American high-school students who attend de facto segregated schools in the rural South; and a mixed-methods study focusing on the different types of knowledge novice and experienced teachers draw on in teaching reading comprehension.</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The program awards grants of up to $50,000.</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To be eligible, principal investigators and co-PIs must have an earned doctorate in an academic discipline or professional field, or appropriate experience in an education research-related profession. In addition, the PI must be affiliated with a college, university, school district, nonprofit research facility, or nonprofit cultural institution that is willing to serve as the fiscal agent if the grant is awarded.</w:t>
      </w:r>
    </w:p>
    <w:p w:rsidR="00D40AE6" w:rsidRPr="00D40AE6" w:rsidRDefault="00D40AE6" w:rsidP="00D40AE6">
      <w:pPr>
        <w:spacing w:before="100" w:beforeAutospacing="1" w:after="100" w:afterAutospacing="1" w:line="240" w:lineRule="auto"/>
        <w:outlineLvl w:val="0"/>
        <w:rPr>
          <w:rFonts w:eastAsia="Times New Roman" w:cstheme="minorHAnsi"/>
          <w:b/>
          <w:bCs/>
          <w:kern w:val="36"/>
        </w:rPr>
      </w:pPr>
      <w:r w:rsidRPr="00D40AE6">
        <w:rPr>
          <w:rFonts w:eastAsia="Times New Roman" w:cstheme="minorHAnsi"/>
          <w:b/>
          <w:bCs/>
          <w:kern w:val="36"/>
        </w:rPr>
        <w:t>Macy Foundation Seeks Applications for 2018 Faculty Scholars Program</w:t>
      </w:r>
    </w:p>
    <w:p w:rsidR="00D40AE6" w:rsidRPr="00D40AE6" w:rsidRDefault="00D40AE6" w:rsidP="00D40AE6">
      <w:pPr>
        <w:spacing w:after="0" w:line="240" w:lineRule="auto"/>
        <w:rPr>
          <w:rFonts w:eastAsia="Times New Roman" w:cstheme="minorHAnsi"/>
        </w:rPr>
      </w:pPr>
      <w:r w:rsidRPr="00D40AE6">
        <w:rPr>
          <w:rFonts w:eastAsia="Times New Roman" w:cstheme="minorHAnsi"/>
        </w:rPr>
        <w:t xml:space="preserve">Deadline: February 13, 2019 </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 xml:space="preserve">Founded in 1930 by Kate Macy Ladd in memory of her father, prominent philanthropist Josiah Macy, Jr., the </w:t>
      </w:r>
      <w:hyperlink r:id="rId16" w:tgtFrame="_self" w:history="1">
        <w:r w:rsidRPr="00D40AE6">
          <w:rPr>
            <w:rFonts w:eastAsia="Times New Roman" w:cstheme="minorHAnsi"/>
            <w:color w:val="0000FF"/>
            <w:u w:val="single"/>
          </w:rPr>
          <w:t>Josiah Macy, Jr. Foundation</w:t>
        </w:r>
      </w:hyperlink>
      <w:r w:rsidRPr="00D40AE6">
        <w:rPr>
          <w:rFonts w:eastAsia="Times New Roman" w:cstheme="minorHAnsi"/>
        </w:rPr>
        <w:t xml:space="preserve"> supports projects that broaden and improve health professional education. </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To that end, the foundation has issued a Call for Applications for its 2018 Macy Faculty Scholars, an annual program designed to identify and nurture the careers of promising educational innovators in medicine and nursing.</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Macy Scholars will be expected to implement educational innovations at their home institution and participate in career-development activities. In support of their activities, scholars will receive salary support of up to $100,000 per year for two years; at least 50 percent protected time for two years to pursue educational projects; active mentorship by a senior faculty member at their institution; access to the program’s national advisory committee; and opportunities to participate in Macy conferences and other national meetings.</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To be eligible, applicants must have been a faculty member for more than five years at a United States accredited nursing school, allopathic medical school, or osteopathic medical school; be nominated by the dean of the school; and have a faculty mentor who will advise him/her on the project and his/her career development. In addition, all applicants must be a citizen or permanent resident of the United States or its territories.</w:t>
      </w:r>
    </w:p>
    <w:p w:rsidR="00D40AE6" w:rsidRPr="00D40AE6" w:rsidRDefault="00D40AE6" w:rsidP="00D40AE6">
      <w:pPr>
        <w:spacing w:before="100" w:beforeAutospacing="1" w:after="100" w:afterAutospacing="1" w:line="240" w:lineRule="auto"/>
        <w:rPr>
          <w:rFonts w:eastAsia="Times New Roman" w:cstheme="minorHAnsi"/>
        </w:rPr>
      </w:pPr>
      <w:r w:rsidRPr="00D40AE6">
        <w:rPr>
          <w:rFonts w:eastAsia="Times New Roman" w:cstheme="minorHAnsi"/>
        </w:rPr>
        <w:t>An informational webinar for interested applicants will be held on December 12. An RSVP is required.</w:t>
      </w:r>
    </w:p>
    <w:p w:rsidR="00805EA0" w:rsidRPr="00805EA0" w:rsidRDefault="00805EA0" w:rsidP="00805EA0">
      <w:pPr>
        <w:spacing w:before="100" w:beforeAutospacing="1" w:after="100" w:afterAutospacing="1" w:line="240" w:lineRule="auto"/>
        <w:outlineLvl w:val="0"/>
        <w:rPr>
          <w:rFonts w:eastAsia="Times New Roman" w:cstheme="minorHAnsi"/>
          <w:b/>
          <w:bCs/>
          <w:kern w:val="36"/>
        </w:rPr>
      </w:pPr>
      <w:r w:rsidRPr="00805EA0">
        <w:rPr>
          <w:rFonts w:eastAsia="Times New Roman" w:cstheme="minorHAnsi"/>
          <w:b/>
          <w:bCs/>
          <w:kern w:val="36"/>
        </w:rPr>
        <w:t>Russell Sage Foundation Invites LOIs for Research on Effects of Affordable Care Act</w:t>
      </w:r>
    </w:p>
    <w:p w:rsidR="00805EA0" w:rsidRPr="00805EA0" w:rsidRDefault="00805EA0" w:rsidP="00805EA0">
      <w:pPr>
        <w:spacing w:after="0" w:line="240" w:lineRule="auto"/>
        <w:rPr>
          <w:rFonts w:eastAsia="Times New Roman" w:cstheme="minorHAnsi"/>
        </w:rPr>
      </w:pPr>
      <w:r w:rsidRPr="00805EA0">
        <w:rPr>
          <w:rFonts w:eastAsia="Times New Roman" w:cstheme="minorHAnsi"/>
        </w:rPr>
        <w:t xml:space="preserve">Deadline: May 23, 2019 </w:t>
      </w:r>
    </w:p>
    <w:p w:rsidR="00805EA0" w:rsidRPr="00805EA0" w:rsidRDefault="00805EA0" w:rsidP="00805EA0">
      <w:pPr>
        <w:spacing w:before="100" w:beforeAutospacing="1" w:after="100" w:afterAutospacing="1" w:line="240" w:lineRule="auto"/>
        <w:rPr>
          <w:rFonts w:eastAsia="Times New Roman" w:cstheme="minorHAnsi"/>
        </w:rPr>
      </w:pPr>
      <w:r w:rsidRPr="00805EA0">
        <w:rPr>
          <w:rFonts w:eastAsia="Times New Roman" w:cstheme="minorHAnsi"/>
        </w:rPr>
        <w:t xml:space="preserve">The </w:t>
      </w:r>
      <w:hyperlink r:id="rId17" w:tgtFrame="_self" w:history="1">
        <w:r w:rsidRPr="00805EA0">
          <w:rPr>
            <w:rFonts w:eastAsia="Times New Roman" w:cstheme="minorHAnsi"/>
            <w:color w:val="0000FF"/>
            <w:u w:val="single"/>
          </w:rPr>
          <w:t>Russell Sage Foundation</w:t>
        </w:r>
      </w:hyperlink>
      <w:r w:rsidRPr="00805EA0">
        <w:rPr>
          <w:rFonts w:eastAsia="Times New Roman" w:cstheme="minorHAnsi"/>
        </w:rPr>
        <w:t xml:space="preserve"> is accepting Letters of Inquiry for the final funding round of its Social, Economic and Political Effects of the Affordable Care Act program.</w:t>
      </w:r>
    </w:p>
    <w:p w:rsidR="00805EA0" w:rsidRPr="00805EA0" w:rsidRDefault="00805EA0" w:rsidP="00805EA0">
      <w:pPr>
        <w:spacing w:before="100" w:beforeAutospacing="1" w:after="100" w:afterAutospacing="1" w:line="240" w:lineRule="auto"/>
        <w:rPr>
          <w:rFonts w:eastAsia="Times New Roman" w:cstheme="minorHAnsi"/>
        </w:rPr>
      </w:pPr>
      <w:r w:rsidRPr="00805EA0">
        <w:rPr>
          <w:rFonts w:eastAsia="Times New Roman" w:cstheme="minorHAnsi"/>
        </w:rPr>
        <w:t>The program supports innovative social science research on the social, economic, and political effects of the Affordable Care Act. The foundation is especially interested in funding analyses that address important questions about the effects of the reform on outcomes such as financial security and family economic well-being, labor supply and demand, participation in other public programs, family and children’s outcomes, and differential effects by age, race, ethnicity, nativity, or disability status. The foundation also is interested in research that examines the political effects of the implementation of the new law, including changes in views about government, support for future government policy changes, or the impact on policy development outside of health care.</w:t>
      </w:r>
    </w:p>
    <w:p w:rsidR="00805EA0" w:rsidRPr="00805EA0" w:rsidRDefault="00805EA0" w:rsidP="00805EA0">
      <w:pPr>
        <w:spacing w:before="100" w:beforeAutospacing="1" w:after="100" w:afterAutospacing="1" w:line="240" w:lineRule="auto"/>
        <w:rPr>
          <w:rFonts w:eastAsia="Times New Roman" w:cstheme="minorHAnsi"/>
        </w:rPr>
      </w:pPr>
      <w:r w:rsidRPr="00805EA0">
        <w:rPr>
          <w:rFonts w:eastAsia="Times New Roman" w:cstheme="minorHAnsi"/>
        </w:rPr>
        <w:t>Funding is available for secondary analysis of data or for original data collection. Projects that propose novel uses of existing data and projects that propose to analyze newly available or underutilized data are welcomed. The foundation will not fund research on the effects of the ACA on healthcare delivery or health outcomes (e.g., barriers to implementation, changes in the quality of care and health status, or trends in enrollment and affordability), as other funders already do that.</w:t>
      </w:r>
    </w:p>
    <w:p w:rsidR="00805EA0" w:rsidRPr="00805EA0" w:rsidRDefault="00805EA0" w:rsidP="00805EA0">
      <w:pPr>
        <w:spacing w:before="100" w:beforeAutospacing="1" w:after="100" w:afterAutospacing="1" w:line="240" w:lineRule="auto"/>
        <w:rPr>
          <w:rFonts w:eastAsia="Times New Roman" w:cstheme="minorHAnsi"/>
        </w:rPr>
      </w:pPr>
      <w:r w:rsidRPr="00805EA0">
        <w:rPr>
          <w:rFonts w:eastAsia="Times New Roman" w:cstheme="minorHAnsi"/>
        </w:rPr>
        <w:t>Grant requests are limited to no more than a two-year period, with a maximum of $150,000 (including overhead) per project.</w:t>
      </w:r>
    </w:p>
    <w:p w:rsidR="00805EA0" w:rsidRPr="00805EA0" w:rsidRDefault="00805EA0" w:rsidP="00805EA0">
      <w:pPr>
        <w:spacing w:before="100" w:beforeAutospacing="1" w:after="100" w:afterAutospacing="1" w:line="240" w:lineRule="auto"/>
        <w:rPr>
          <w:rFonts w:eastAsia="Times New Roman" w:cstheme="minorHAnsi"/>
        </w:rPr>
      </w:pPr>
      <w:r w:rsidRPr="00805EA0">
        <w:rPr>
          <w:rFonts w:eastAsia="Times New Roman" w:cstheme="minorHAnsi"/>
        </w:rPr>
        <w:t>LOIs must be received no later than May 23, 2019. Upon review, selected applicants will be invited to submit a full application no later than August 15, 2019.</w:t>
      </w:r>
    </w:p>
    <w:p w:rsidR="00805EA0" w:rsidRPr="00805EA0" w:rsidRDefault="00805EA0" w:rsidP="00805EA0">
      <w:pPr>
        <w:spacing w:before="100" w:beforeAutospacing="1" w:after="100" w:afterAutospacing="1" w:line="240" w:lineRule="auto"/>
        <w:rPr>
          <w:rFonts w:eastAsia="Times New Roman" w:cstheme="minorHAnsi"/>
        </w:rPr>
      </w:pPr>
      <w:r w:rsidRPr="00805EA0">
        <w:rPr>
          <w:rFonts w:eastAsia="Times New Roman" w:cstheme="minorHAnsi"/>
        </w:rPr>
        <w:t>For complete program guidelines and application instructions, see the Russell Sage Foundation website.</w:t>
      </w:r>
    </w:p>
    <w:p w:rsidR="00060D4F" w:rsidRDefault="00060D4F"/>
    <w:sectPr w:rsidR="00060D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4F"/>
    <w:rsid w:val="00060D4F"/>
    <w:rsid w:val="002558F7"/>
    <w:rsid w:val="006F38DB"/>
    <w:rsid w:val="00805EA0"/>
    <w:rsid w:val="009471C8"/>
    <w:rsid w:val="00A94615"/>
    <w:rsid w:val="00D40AE6"/>
    <w:rsid w:val="00D74EFD"/>
    <w:rsid w:val="00EF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8C10"/>
  <w15:chartTrackingRefBased/>
  <w15:docId w15:val="{D6DEB615-21BC-4A50-88C3-110633E9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0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0D4F"/>
    <w:rPr>
      <w:color w:val="0169B2"/>
      <w:u w:val="single"/>
    </w:rPr>
  </w:style>
  <w:style w:type="paragraph" w:styleId="NormalWeb">
    <w:name w:val="Normal (Web)"/>
    <w:basedOn w:val="Normal"/>
    <w:uiPriority w:val="99"/>
    <w:semiHidden/>
    <w:unhideWhenUsed/>
    <w:rsid w:val="00EF0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0AE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0849">
      <w:bodyDiv w:val="1"/>
      <w:marLeft w:val="0"/>
      <w:marRight w:val="0"/>
      <w:marTop w:val="0"/>
      <w:marBottom w:val="0"/>
      <w:divBdr>
        <w:top w:val="none" w:sz="0" w:space="0" w:color="auto"/>
        <w:left w:val="none" w:sz="0" w:space="0" w:color="auto"/>
        <w:bottom w:val="none" w:sz="0" w:space="0" w:color="auto"/>
        <w:right w:val="none" w:sz="0" w:space="0" w:color="auto"/>
      </w:divBdr>
      <w:divsChild>
        <w:div w:id="1198616957">
          <w:marLeft w:val="0"/>
          <w:marRight w:val="0"/>
          <w:marTop w:val="0"/>
          <w:marBottom w:val="0"/>
          <w:divBdr>
            <w:top w:val="none" w:sz="0" w:space="0" w:color="auto"/>
            <w:left w:val="none" w:sz="0" w:space="0" w:color="auto"/>
            <w:bottom w:val="none" w:sz="0" w:space="0" w:color="auto"/>
            <w:right w:val="none" w:sz="0" w:space="0" w:color="auto"/>
          </w:divBdr>
        </w:div>
        <w:div w:id="672797980">
          <w:marLeft w:val="0"/>
          <w:marRight w:val="0"/>
          <w:marTop w:val="0"/>
          <w:marBottom w:val="0"/>
          <w:divBdr>
            <w:top w:val="none" w:sz="0" w:space="0" w:color="auto"/>
            <w:left w:val="none" w:sz="0" w:space="0" w:color="auto"/>
            <w:bottom w:val="none" w:sz="0" w:space="0" w:color="auto"/>
            <w:right w:val="none" w:sz="0" w:space="0" w:color="auto"/>
          </w:divBdr>
          <w:divsChild>
            <w:div w:id="1606423211">
              <w:marLeft w:val="0"/>
              <w:marRight w:val="0"/>
              <w:marTop w:val="0"/>
              <w:marBottom w:val="0"/>
              <w:divBdr>
                <w:top w:val="none" w:sz="0" w:space="0" w:color="auto"/>
                <w:left w:val="none" w:sz="0" w:space="0" w:color="auto"/>
                <w:bottom w:val="none" w:sz="0" w:space="0" w:color="auto"/>
                <w:right w:val="none" w:sz="0" w:space="0" w:color="auto"/>
              </w:divBdr>
            </w:div>
            <w:div w:id="1208641724">
              <w:marLeft w:val="0"/>
              <w:marRight w:val="0"/>
              <w:marTop w:val="0"/>
              <w:marBottom w:val="0"/>
              <w:divBdr>
                <w:top w:val="none" w:sz="0" w:space="0" w:color="auto"/>
                <w:left w:val="none" w:sz="0" w:space="0" w:color="auto"/>
                <w:bottom w:val="none" w:sz="0" w:space="0" w:color="auto"/>
                <w:right w:val="none" w:sz="0" w:space="0" w:color="auto"/>
              </w:divBdr>
            </w:div>
          </w:divsChild>
        </w:div>
        <w:div w:id="1712802551">
          <w:marLeft w:val="0"/>
          <w:marRight w:val="0"/>
          <w:marTop w:val="0"/>
          <w:marBottom w:val="0"/>
          <w:divBdr>
            <w:top w:val="none" w:sz="0" w:space="0" w:color="auto"/>
            <w:left w:val="none" w:sz="0" w:space="0" w:color="auto"/>
            <w:bottom w:val="none" w:sz="0" w:space="0" w:color="auto"/>
            <w:right w:val="none" w:sz="0" w:space="0" w:color="auto"/>
          </w:divBdr>
        </w:div>
      </w:divsChild>
    </w:div>
    <w:div w:id="324094752">
      <w:bodyDiv w:val="1"/>
      <w:marLeft w:val="0"/>
      <w:marRight w:val="0"/>
      <w:marTop w:val="0"/>
      <w:marBottom w:val="0"/>
      <w:divBdr>
        <w:top w:val="none" w:sz="0" w:space="0" w:color="auto"/>
        <w:left w:val="none" w:sz="0" w:space="0" w:color="auto"/>
        <w:bottom w:val="none" w:sz="0" w:space="0" w:color="auto"/>
        <w:right w:val="none" w:sz="0" w:space="0" w:color="auto"/>
      </w:divBdr>
      <w:divsChild>
        <w:div w:id="890044439">
          <w:marLeft w:val="0"/>
          <w:marRight w:val="0"/>
          <w:marTop w:val="0"/>
          <w:marBottom w:val="0"/>
          <w:divBdr>
            <w:top w:val="none" w:sz="0" w:space="0" w:color="auto"/>
            <w:left w:val="none" w:sz="0" w:space="0" w:color="auto"/>
            <w:bottom w:val="none" w:sz="0" w:space="0" w:color="auto"/>
            <w:right w:val="none" w:sz="0" w:space="0" w:color="auto"/>
          </w:divBdr>
        </w:div>
        <w:div w:id="847332628">
          <w:marLeft w:val="0"/>
          <w:marRight w:val="0"/>
          <w:marTop w:val="0"/>
          <w:marBottom w:val="0"/>
          <w:divBdr>
            <w:top w:val="none" w:sz="0" w:space="0" w:color="auto"/>
            <w:left w:val="none" w:sz="0" w:space="0" w:color="auto"/>
            <w:bottom w:val="none" w:sz="0" w:space="0" w:color="auto"/>
            <w:right w:val="none" w:sz="0" w:space="0" w:color="auto"/>
          </w:divBdr>
          <w:divsChild>
            <w:div w:id="1949047900">
              <w:marLeft w:val="0"/>
              <w:marRight w:val="0"/>
              <w:marTop w:val="0"/>
              <w:marBottom w:val="0"/>
              <w:divBdr>
                <w:top w:val="none" w:sz="0" w:space="0" w:color="auto"/>
                <w:left w:val="none" w:sz="0" w:space="0" w:color="auto"/>
                <w:bottom w:val="none" w:sz="0" w:space="0" w:color="auto"/>
                <w:right w:val="none" w:sz="0" w:space="0" w:color="auto"/>
              </w:divBdr>
            </w:div>
            <w:div w:id="146821978">
              <w:marLeft w:val="0"/>
              <w:marRight w:val="0"/>
              <w:marTop w:val="0"/>
              <w:marBottom w:val="0"/>
              <w:divBdr>
                <w:top w:val="none" w:sz="0" w:space="0" w:color="auto"/>
                <w:left w:val="none" w:sz="0" w:space="0" w:color="auto"/>
                <w:bottom w:val="none" w:sz="0" w:space="0" w:color="auto"/>
                <w:right w:val="none" w:sz="0" w:space="0" w:color="auto"/>
              </w:divBdr>
            </w:div>
          </w:divsChild>
        </w:div>
        <w:div w:id="688220618">
          <w:marLeft w:val="0"/>
          <w:marRight w:val="0"/>
          <w:marTop w:val="0"/>
          <w:marBottom w:val="0"/>
          <w:divBdr>
            <w:top w:val="none" w:sz="0" w:space="0" w:color="auto"/>
            <w:left w:val="none" w:sz="0" w:space="0" w:color="auto"/>
            <w:bottom w:val="none" w:sz="0" w:space="0" w:color="auto"/>
            <w:right w:val="none" w:sz="0" w:space="0" w:color="auto"/>
          </w:divBdr>
        </w:div>
      </w:divsChild>
    </w:div>
    <w:div w:id="332799542">
      <w:bodyDiv w:val="1"/>
      <w:marLeft w:val="0"/>
      <w:marRight w:val="0"/>
      <w:marTop w:val="0"/>
      <w:marBottom w:val="0"/>
      <w:divBdr>
        <w:top w:val="none" w:sz="0" w:space="0" w:color="auto"/>
        <w:left w:val="none" w:sz="0" w:space="0" w:color="auto"/>
        <w:bottom w:val="none" w:sz="0" w:space="0" w:color="auto"/>
        <w:right w:val="none" w:sz="0" w:space="0" w:color="auto"/>
      </w:divBdr>
      <w:divsChild>
        <w:div w:id="118308334">
          <w:marLeft w:val="0"/>
          <w:marRight w:val="0"/>
          <w:marTop w:val="0"/>
          <w:marBottom w:val="0"/>
          <w:divBdr>
            <w:top w:val="none" w:sz="0" w:space="0" w:color="auto"/>
            <w:left w:val="none" w:sz="0" w:space="0" w:color="auto"/>
            <w:bottom w:val="none" w:sz="0" w:space="0" w:color="auto"/>
            <w:right w:val="none" w:sz="0" w:space="0" w:color="auto"/>
          </w:divBdr>
        </w:div>
        <w:div w:id="2135248045">
          <w:marLeft w:val="0"/>
          <w:marRight w:val="0"/>
          <w:marTop w:val="0"/>
          <w:marBottom w:val="0"/>
          <w:divBdr>
            <w:top w:val="none" w:sz="0" w:space="0" w:color="auto"/>
            <w:left w:val="none" w:sz="0" w:space="0" w:color="auto"/>
            <w:bottom w:val="none" w:sz="0" w:space="0" w:color="auto"/>
            <w:right w:val="none" w:sz="0" w:space="0" w:color="auto"/>
          </w:divBdr>
          <w:divsChild>
            <w:div w:id="1976643785">
              <w:marLeft w:val="0"/>
              <w:marRight w:val="0"/>
              <w:marTop w:val="0"/>
              <w:marBottom w:val="0"/>
              <w:divBdr>
                <w:top w:val="none" w:sz="0" w:space="0" w:color="auto"/>
                <w:left w:val="none" w:sz="0" w:space="0" w:color="auto"/>
                <w:bottom w:val="none" w:sz="0" w:space="0" w:color="auto"/>
                <w:right w:val="none" w:sz="0" w:space="0" w:color="auto"/>
              </w:divBdr>
            </w:div>
            <w:div w:id="863985300">
              <w:marLeft w:val="0"/>
              <w:marRight w:val="0"/>
              <w:marTop w:val="0"/>
              <w:marBottom w:val="0"/>
              <w:divBdr>
                <w:top w:val="none" w:sz="0" w:space="0" w:color="auto"/>
                <w:left w:val="none" w:sz="0" w:space="0" w:color="auto"/>
                <w:bottom w:val="none" w:sz="0" w:space="0" w:color="auto"/>
                <w:right w:val="none" w:sz="0" w:space="0" w:color="auto"/>
              </w:divBdr>
            </w:div>
          </w:divsChild>
        </w:div>
        <w:div w:id="583539711">
          <w:marLeft w:val="0"/>
          <w:marRight w:val="0"/>
          <w:marTop w:val="0"/>
          <w:marBottom w:val="0"/>
          <w:divBdr>
            <w:top w:val="none" w:sz="0" w:space="0" w:color="auto"/>
            <w:left w:val="none" w:sz="0" w:space="0" w:color="auto"/>
            <w:bottom w:val="none" w:sz="0" w:space="0" w:color="auto"/>
            <w:right w:val="none" w:sz="0" w:space="0" w:color="auto"/>
          </w:divBdr>
        </w:div>
      </w:divsChild>
    </w:div>
    <w:div w:id="692223811">
      <w:bodyDiv w:val="1"/>
      <w:marLeft w:val="0"/>
      <w:marRight w:val="0"/>
      <w:marTop w:val="0"/>
      <w:marBottom w:val="0"/>
      <w:divBdr>
        <w:top w:val="none" w:sz="0" w:space="0" w:color="auto"/>
        <w:left w:val="none" w:sz="0" w:space="0" w:color="auto"/>
        <w:bottom w:val="none" w:sz="0" w:space="0" w:color="auto"/>
        <w:right w:val="none" w:sz="0" w:space="0" w:color="auto"/>
      </w:divBdr>
      <w:divsChild>
        <w:div w:id="1555696131">
          <w:marLeft w:val="0"/>
          <w:marRight w:val="0"/>
          <w:marTop w:val="0"/>
          <w:marBottom w:val="0"/>
          <w:divBdr>
            <w:top w:val="none" w:sz="0" w:space="0" w:color="auto"/>
            <w:left w:val="none" w:sz="0" w:space="0" w:color="auto"/>
            <w:bottom w:val="none" w:sz="0" w:space="0" w:color="auto"/>
            <w:right w:val="none" w:sz="0" w:space="0" w:color="auto"/>
          </w:divBdr>
        </w:div>
        <w:div w:id="344940926">
          <w:marLeft w:val="0"/>
          <w:marRight w:val="0"/>
          <w:marTop w:val="0"/>
          <w:marBottom w:val="0"/>
          <w:divBdr>
            <w:top w:val="none" w:sz="0" w:space="0" w:color="auto"/>
            <w:left w:val="none" w:sz="0" w:space="0" w:color="auto"/>
            <w:bottom w:val="none" w:sz="0" w:space="0" w:color="auto"/>
            <w:right w:val="none" w:sz="0" w:space="0" w:color="auto"/>
          </w:divBdr>
          <w:divsChild>
            <w:div w:id="577712816">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sChild>
        </w:div>
        <w:div w:id="866716484">
          <w:marLeft w:val="0"/>
          <w:marRight w:val="0"/>
          <w:marTop w:val="0"/>
          <w:marBottom w:val="0"/>
          <w:divBdr>
            <w:top w:val="none" w:sz="0" w:space="0" w:color="auto"/>
            <w:left w:val="none" w:sz="0" w:space="0" w:color="auto"/>
            <w:bottom w:val="none" w:sz="0" w:space="0" w:color="auto"/>
            <w:right w:val="none" w:sz="0" w:space="0" w:color="auto"/>
          </w:divBdr>
        </w:div>
      </w:divsChild>
    </w:div>
    <w:div w:id="724136357">
      <w:bodyDiv w:val="1"/>
      <w:marLeft w:val="0"/>
      <w:marRight w:val="0"/>
      <w:marTop w:val="0"/>
      <w:marBottom w:val="0"/>
      <w:divBdr>
        <w:top w:val="none" w:sz="0" w:space="0" w:color="auto"/>
        <w:left w:val="none" w:sz="0" w:space="0" w:color="auto"/>
        <w:bottom w:val="none" w:sz="0" w:space="0" w:color="auto"/>
        <w:right w:val="none" w:sz="0" w:space="0" w:color="auto"/>
      </w:divBdr>
      <w:divsChild>
        <w:div w:id="1877615215">
          <w:marLeft w:val="0"/>
          <w:marRight w:val="0"/>
          <w:marTop w:val="0"/>
          <w:marBottom w:val="0"/>
          <w:divBdr>
            <w:top w:val="none" w:sz="0" w:space="0" w:color="auto"/>
            <w:left w:val="none" w:sz="0" w:space="0" w:color="auto"/>
            <w:bottom w:val="none" w:sz="0" w:space="0" w:color="auto"/>
            <w:right w:val="none" w:sz="0" w:space="0" w:color="auto"/>
          </w:divBdr>
        </w:div>
        <w:div w:id="777259137">
          <w:marLeft w:val="0"/>
          <w:marRight w:val="0"/>
          <w:marTop w:val="0"/>
          <w:marBottom w:val="0"/>
          <w:divBdr>
            <w:top w:val="none" w:sz="0" w:space="0" w:color="auto"/>
            <w:left w:val="none" w:sz="0" w:space="0" w:color="auto"/>
            <w:bottom w:val="none" w:sz="0" w:space="0" w:color="auto"/>
            <w:right w:val="none" w:sz="0" w:space="0" w:color="auto"/>
          </w:divBdr>
          <w:divsChild>
            <w:div w:id="362172825">
              <w:marLeft w:val="0"/>
              <w:marRight w:val="0"/>
              <w:marTop w:val="0"/>
              <w:marBottom w:val="0"/>
              <w:divBdr>
                <w:top w:val="none" w:sz="0" w:space="0" w:color="auto"/>
                <w:left w:val="none" w:sz="0" w:space="0" w:color="auto"/>
                <w:bottom w:val="none" w:sz="0" w:space="0" w:color="auto"/>
                <w:right w:val="none" w:sz="0" w:space="0" w:color="auto"/>
              </w:divBdr>
            </w:div>
            <w:div w:id="84426164">
              <w:marLeft w:val="0"/>
              <w:marRight w:val="0"/>
              <w:marTop w:val="0"/>
              <w:marBottom w:val="0"/>
              <w:divBdr>
                <w:top w:val="none" w:sz="0" w:space="0" w:color="auto"/>
                <w:left w:val="none" w:sz="0" w:space="0" w:color="auto"/>
                <w:bottom w:val="none" w:sz="0" w:space="0" w:color="auto"/>
                <w:right w:val="none" w:sz="0" w:space="0" w:color="auto"/>
              </w:divBdr>
            </w:div>
          </w:divsChild>
        </w:div>
        <w:div w:id="1479305651">
          <w:marLeft w:val="0"/>
          <w:marRight w:val="0"/>
          <w:marTop w:val="0"/>
          <w:marBottom w:val="0"/>
          <w:divBdr>
            <w:top w:val="none" w:sz="0" w:space="0" w:color="auto"/>
            <w:left w:val="none" w:sz="0" w:space="0" w:color="auto"/>
            <w:bottom w:val="none" w:sz="0" w:space="0" w:color="auto"/>
            <w:right w:val="none" w:sz="0" w:space="0" w:color="auto"/>
          </w:divBdr>
        </w:div>
      </w:divsChild>
    </w:div>
    <w:div w:id="938874489">
      <w:bodyDiv w:val="1"/>
      <w:marLeft w:val="0"/>
      <w:marRight w:val="0"/>
      <w:marTop w:val="0"/>
      <w:marBottom w:val="0"/>
      <w:divBdr>
        <w:top w:val="none" w:sz="0" w:space="0" w:color="auto"/>
        <w:left w:val="none" w:sz="0" w:space="0" w:color="auto"/>
        <w:bottom w:val="none" w:sz="0" w:space="0" w:color="auto"/>
        <w:right w:val="none" w:sz="0" w:space="0" w:color="auto"/>
      </w:divBdr>
      <w:divsChild>
        <w:div w:id="1294826805">
          <w:marLeft w:val="0"/>
          <w:marRight w:val="0"/>
          <w:marTop w:val="0"/>
          <w:marBottom w:val="0"/>
          <w:divBdr>
            <w:top w:val="none" w:sz="0" w:space="0" w:color="auto"/>
            <w:left w:val="none" w:sz="0" w:space="0" w:color="auto"/>
            <w:bottom w:val="none" w:sz="0" w:space="0" w:color="auto"/>
            <w:right w:val="none" w:sz="0" w:space="0" w:color="auto"/>
          </w:divBdr>
        </w:div>
        <w:div w:id="1755201828">
          <w:marLeft w:val="0"/>
          <w:marRight w:val="0"/>
          <w:marTop w:val="0"/>
          <w:marBottom w:val="0"/>
          <w:divBdr>
            <w:top w:val="none" w:sz="0" w:space="0" w:color="auto"/>
            <w:left w:val="none" w:sz="0" w:space="0" w:color="auto"/>
            <w:bottom w:val="none" w:sz="0" w:space="0" w:color="auto"/>
            <w:right w:val="none" w:sz="0" w:space="0" w:color="auto"/>
          </w:divBdr>
          <w:divsChild>
            <w:div w:id="380324258">
              <w:marLeft w:val="0"/>
              <w:marRight w:val="0"/>
              <w:marTop w:val="0"/>
              <w:marBottom w:val="0"/>
              <w:divBdr>
                <w:top w:val="none" w:sz="0" w:space="0" w:color="auto"/>
                <w:left w:val="none" w:sz="0" w:space="0" w:color="auto"/>
                <w:bottom w:val="none" w:sz="0" w:space="0" w:color="auto"/>
                <w:right w:val="none" w:sz="0" w:space="0" w:color="auto"/>
              </w:divBdr>
            </w:div>
            <w:div w:id="1901288764">
              <w:marLeft w:val="0"/>
              <w:marRight w:val="0"/>
              <w:marTop w:val="0"/>
              <w:marBottom w:val="0"/>
              <w:divBdr>
                <w:top w:val="none" w:sz="0" w:space="0" w:color="auto"/>
                <w:left w:val="none" w:sz="0" w:space="0" w:color="auto"/>
                <w:bottom w:val="none" w:sz="0" w:space="0" w:color="auto"/>
                <w:right w:val="none" w:sz="0" w:space="0" w:color="auto"/>
              </w:divBdr>
            </w:div>
          </w:divsChild>
        </w:div>
        <w:div w:id="181287381">
          <w:marLeft w:val="0"/>
          <w:marRight w:val="0"/>
          <w:marTop w:val="0"/>
          <w:marBottom w:val="0"/>
          <w:divBdr>
            <w:top w:val="none" w:sz="0" w:space="0" w:color="auto"/>
            <w:left w:val="none" w:sz="0" w:space="0" w:color="auto"/>
            <w:bottom w:val="none" w:sz="0" w:space="0" w:color="auto"/>
            <w:right w:val="none" w:sz="0" w:space="0" w:color="auto"/>
          </w:divBdr>
        </w:div>
      </w:divsChild>
    </w:div>
    <w:div w:id="1014265367">
      <w:bodyDiv w:val="1"/>
      <w:marLeft w:val="0"/>
      <w:marRight w:val="0"/>
      <w:marTop w:val="0"/>
      <w:marBottom w:val="0"/>
      <w:divBdr>
        <w:top w:val="none" w:sz="0" w:space="0" w:color="auto"/>
        <w:left w:val="none" w:sz="0" w:space="0" w:color="auto"/>
        <w:bottom w:val="none" w:sz="0" w:space="0" w:color="auto"/>
        <w:right w:val="none" w:sz="0" w:space="0" w:color="auto"/>
      </w:divBdr>
    </w:div>
    <w:div w:id="1047493030">
      <w:bodyDiv w:val="1"/>
      <w:marLeft w:val="0"/>
      <w:marRight w:val="0"/>
      <w:marTop w:val="0"/>
      <w:marBottom w:val="0"/>
      <w:divBdr>
        <w:top w:val="none" w:sz="0" w:space="0" w:color="auto"/>
        <w:left w:val="none" w:sz="0" w:space="0" w:color="auto"/>
        <w:bottom w:val="none" w:sz="0" w:space="0" w:color="auto"/>
        <w:right w:val="none" w:sz="0" w:space="0" w:color="auto"/>
      </w:divBdr>
      <w:divsChild>
        <w:div w:id="1005471881">
          <w:marLeft w:val="0"/>
          <w:marRight w:val="0"/>
          <w:marTop w:val="0"/>
          <w:marBottom w:val="0"/>
          <w:divBdr>
            <w:top w:val="none" w:sz="0" w:space="0" w:color="auto"/>
            <w:left w:val="none" w:sz="0" w:space="0" w:color="auto"/>
            <w:bottom w:val="none" w:sz="0" w:space="0" w:color="auto"/>
            <w:right w:val="none" w:sz="0" w:space="0" w:color="auto"/>
          </w:divBdr>
        </w:div>
        <w:div w:id="498816410">
          <w:marLeft w:val="0"/>
          <w:marRight w:val="0"/>
          <w:marTop w:val="0"/>
          <w:marBottom w:val="0"/>
          <w:divBdr>
            <w:top w:val="none" w:sz="0" w:space="0" w:color="auto"/>
            <w:left w:val="none" w:sz="0" w:space="0" w:color="auto"/>
            <w:bottom w:val="none" w:sz="0" w:space="0" w:color="auto"/>
            <w:right w:val="none" w:sz="0" w:space="0" w:color="auto"/>
          </w:divBdr>
          <w:divsChild>
            <w:div w:id="1146043380">
              <w:marLeft w:val="0"/>
              <w:marRight w:val="0"/>
              <w:marTop w:val="0"/>
              <w:marBottom w:val="0"/>
              <w:divBdr>
                <w:top w:val="none" w:sz="0" w:space="0" w:color="auto"/>
                <w:left w:val="none" w:sz="0" w:space="0" w:color="auto"/>
                <w:bottom w:val="none" w:sz="0" w:space="0" w:color="auto"/>
                <w:right w:val="none" w:sz="0" w:space="0" w:color="auto"/>
              </w:divBdr>
            </w:div>
            <w:div w:id="510918757">
              <w:marLeft w:val="0"/>
              <w:marRight w:val="0"/>
              <w:marTop w:val="0"/>
              <w:marBottom w:val="0"/>
              <w:divBdr>
                <w:top w:val="none" w:sz="0" w:space="0" w:color="auto"/>
                <w:left w:val="none" w:sz="0" w:space="0" w:color="auto"/>
                <w:bottom w:val="none" w:sz="0" w:space="0" w:color="auto"/>
                <w:right w:val="none" w:sz="0" w:space="0" w:color="auto"/>
              </w:divBdr>
            </w:div>
          </w:divsChild>
        </w:div>
        <w:div w:id="224684835">
          <w:marLeft w:val="0"/>
          <w:marRight w:val="0"/>
          <w:marTop w:val="0"/>
          <w:marBottom w:val="0"/>
          <w:divBdr>
            <w:top w:val="none" w:sz="0" w:space="0" w:color="auto"/>
            <w:left w:val="none" w:sz="0" w:space="0" w:color="auto"/>
            <w:bottom w:val="none" w:sz="0" w:space="0" w:color="auto"/>
            <w:right w:val="none" w:sz="0" w:space="0" w:color="auto"/>
          </w:divBdr>
        </w:div>
      </w:divsChild>
    </w:div>
    <w:div w:id="1191408470">
      <w:bodyDiv w:val="1"/>
      <w:marLeft w:val="0"/>
      <w:marRight w:val="0"/>
      <w:marTop w:val="0"/>
      <w:marBottom w:val="0"/>
      <w:divBdr>
        <w:top w:val="none" w:sz="0" w:space="0" w:color="auto"/>
        <w:left w:val="none" w:sz="0" w:space="0" w:color="auto"/>
        <w:bottom w:val="none" w:sz="0" w:space="0" w:color="auto"/>
        <w:right w:val="none" w:sz="0" w:space="0" w:color="auto"/>
      </w:divBdr>
      <w:divsChild>
        <w:div w:id="1132947364">
          <w:marLeft w:val="0"/>
          <w:marRight w:val="0"/>
          <w:marTop w:val="0"/>
          <w:marBottom w:val="0"/>
          <w:divBdr>
            <w:top w:val="none" w:sz="0" w:space="0" w:color="auto"/>
            <w:left w:val="none" w:sz="0" w:space="0" w:color="auto"/>
            <w:bottom w:val="none" w:sz="0" w:space="0" w:color="auto"/>
            <w:right w:val="none" w:sz="0" w:space="0" w:color="auto"/>
          </w:divBdr>
        </w:div>
        <w:div w:id="1952738866">
          <w:marLeft w:val="0"/>
          <w:marRight w:val="0"/>
          <w:marTop w:val="0"/>
          <w:marBottom w:val="0"/>
          <w:divBdr>
            <w:top w:val="none" w:sz="0" w:space="0" w:color="auto"/>
            <w:left w:val="none" w:sz="0" w:space="0" w:color="auto"/>
            <w:bottom w:val="none" w:sz="0" w:space="0" w:color="auto"/>
            <w:right w:val="none" w:sz="0" w:space="0" w:color="auto"/>
          </w:divBdr>
          <w:divsChild>
            <w:div w:id="707533922">
              <w:marLeft w:val="0"/>
              <w:marRight w:val="0"/>
              <w:marTop w:val="0"/>
              <w:marBottom w:val="0"/>
              <w:divBdr>
                <w:top w:val="none" w:sz="0" w:space="0" w:color="auto"/>
                <w:left w:val="none" w:sz="0" w:space="0" w:color="auto"/>
                <w:bottom w:val="none" w:sz="0" w:space="0" w:color="auto"/>
                <w:right w:val="none" w:sz="0" w:space="0" w:color="auto"/>
              </w:divBdr>
            </w:div>
            <w:div w:id="1831287501">
              <w:marLeft w:val="0"/>
              <w:marRight w:val="0"/>
              <w:marTop w:val="0"/>
              <w:marBottom w:val="0"/>
              <w:divBdr>
                <w:top w:val="none" w:sz="0" w:space="0" w:color="auto"/>
                <w:left w:val="none" w:sz="0" w:space="0" w:color="auto"/>
                <w:bottom w:val="none" w:sz="0" w:space="0" w:color="auto"/>
                <w:right w:val="none" w:sz="0" w:space="0" w:color="auto"/>
              </w:divBdr>
            </w:div>
          </w:divsChild>
        </w:div>
        <w:div w:id="376510718">
          <w:marLeft w:val="0"/>
          <w:marRight w:val="0"/>
          <w:marTop w:val="0"/>
          <w:marBottom w:val="0"/>
          <w:divBdr>
            <w:top w:val="none" w:sz="0" w:space="0" w:color="auto"/>
            <w:left w:val="none" w:sz="0" w:space="0" w:color="auto"/>
            <w:bottom w:val="none" w:sz="0" w:space="0" w:color="auto"/>
            <w:right w:val="none" w:sz="0" w:space="0" w:color="auto"/>
          </w:divBdr>
        </w:div>
      </w:divsChild>
    </w:div>
    <w:div w:id="1387922309">
      <w:bodyDiv w:val="1"/>
      <w:marLeft w:val="0"/>
      <w:marRight w:val="0"/>
      <w:marTop w:val="0"/>
      <w:marBottom w:val="0"/>
      <w:divBdr>
        <w:top w:val="none" w:sz="0" w:space="0" w:color="auto"/>
        <w:left w:val="none" w:sz="0" w:space="0" w:color="auto"/>
        <w:bottom w:val="none" w:sz="0" w:space="0" w:color="auto"/>
        <w:right w:val="none" w:sz="0" w:space="0" w:color="auto"/>
      </w:divBdr>
    </w:div>
    <w:div w:id="1649358502">
      <w:bodyDiv w:val="1"/>
      <w:marLeft w:val="0"/>
      <w:marRight w:val="0"/>
      <w:marTop w:val="0"/>
      <w:marBottom w:val="0"/>
      <w:divBdr>
        <w:top w:val="none" w:sz="0" w:space="0" w:color="auto"/>
        <w:left w:val="none" w:sz="0" w:space="0" w:color="auto"/>
        <w:bottom w:val="none" w:sz="0" w:space="0" w:color="auto"/>
        <w:right w:val="none" w:sz="0" w:space="0" w:color="auto"/>
      </w:divBdr>
      <w:divsChild>
        <w:div w:id="1528983976">
          <w:marLeft w:val="0"/>
          <w:marRight w:val="0"/>
          <w:marTop w:val="0"/>
          <w:marBottom w:val="0"/>
          <w:divBdr>
            <w:top w:val="none" w:sz="0" w:space="0" w:color="auto"/>
            <w:left w:val="none" w:sz="0" w:space="0" w:color="auto"/>
            <w:bottom w:val="none" w:sz="0" w:space="0" w:color="auto"/>
            <w:right w:val="none" w:sz="0" w:space="0" w:color="auto"/>
          </w:divBdr>
        </w:div>
        <w:div w:id="184560221">
          <w:marLeft w:val="0"/>
          <w:marRight w:val="0"/>
          <w:marTop w:val="0"/>
          <w:marBottom w:val="0"/>
          <w:divBdr>
            <w:top w:val="none" w:sz="0" w:space="0" w:color="auto"/>
            <w:left w:val="none" w:sz="0" w:space="0" w:color="auto"/>
            <w:bottom w:val="none" w:sz="0" w:space="0" w:color="auto"/>
            <w:right w:val="none" w:sz="0" w:space="0" w:color="auto"/>
          </w:divBdr>
          <w:divsChild>
            <w:div w:id="1875384430">
              <w:marLeft w:val="0"/>
              <w:marRight w:val="0"/>
              <w:marTop w:val="0"/>
              <w:marBottom w:val="0"/>
              <w:divBdr>
                <w:top w:val="none" w:sz="0" w:space="0" w:color="auto"/>
                <w:left w:val="none" w:sz="0" w:space="0" w:color="auto"/>
                <w:bottom w:val="none" w:sz="0" w:space="0" w:color="auto"/>
                <w:right w:val="none" w:sz="0" w:space="0" w:color="auto"/>
              </w:divBdr>
            </w:div>
            <w:div w:id="1372418593">
              <w:marLeft w:val="0"/>
              <w:marRight w:val="0"/>
              <w:marTop w:val="0"/>
              <w:marBottom w:val="0"/>
              <w:divBdr>
                <w:top w:val="none" w:sz="0" w:space="0" w:color="auto"/>
                <w:left w:val="none" w:sz="0" w:space="0" w:color="auto"/>
                <w:bottom w:val="none" w:sz="0" w:space="0" w:color="auto"/>
                <w:right w:val="none" w:sz="0" w:space="0" w:color="auto"/>
              </w:divBdr>
            </w:div>
          </w:divsChild>
        </w:div>
        <w:div w:id="1477721225">
          <w:marLeft w:val="0"/>
          <w:marRight w:val="0"/>
          <w:marTop w:val="0"/>
          <w:marBottom w:val="0"/>
          <w:divBdr>
            <w:top w:val="none" w:sz="0" w:space="0" w:color="auto"/>
            <w:left w:val="none" w:sz="0" w:space="0" w:color="auto"/>
            <w:bottom w:val="none" w:sz="0" w:space="0" w:color="auto"/>
            <w:right w:val="none" w:sz="0" w:space="0" w:color="auto"/>
          </w:divBdr>
        </w:div>
      </w:divsChild>
    </w:div>
    <w:div w:id="1678263734">
      <w:bodyDiv w:val="1"/>
      <w:marLeft w:val="0"/>
      <w:marRight w:val="0"/>
      <w:marTop w:val="0"/>
      <w:marBottom w:val="0"/>
      <w:divBdr>
        <w:top w:val="none" w:sz="0" w:space="0" w:color="auto"/>
        <w:left w:val="none" w:sz="0" w:space="0" w:color="auto"/>
        <w:bottom w:val="none" w:sz="0" w:space="0" w:color="auto"/>
        <w:right w:val="none" w:sz="0" w:space="0" w:color="auto"/>
      </w:divBdr>
      <w:divsChild>
        <w:div w:id="133718187">
          <w:marLeft w:val="0"/>
          <w:marRight w:val="0"/>
          <w:marTop w:val="0"/>
          <w:marBottom w:val="0"/>
          <w:divBdr>
            <w:top w:val="none" w:sz="0" w:space="0" w:color="auto"/>
            <w:left w:val="none" w:sz="0" w:space="0" w:color="auto"/>
            <w:bottom w:val="none" w:sz="0" w:space="0" w:color="auto"/>
            <w:right w:val="none" w:sz="0" w:space="0" w:color="auto"/>
          </w:divBdr>
        </w:div>
        <w:div w:id="1411272012">
          <w:marLeft w:val="0"/>
          <w:marRight w:val="0"/>
          <w:marTop w:val="0"/>
          <w:marBottom w:val="0"/>
          <w:divBdr>
            <w:top w:val="none" w:sz="0" w:space="0" w:color="auto"/>
            <w:left w:val="none" w:sz="0" w:space="0" w:color="auto"/>
            <w:bottom w:val="none" w:sz="0" w:space="0" w:color="auto"/>
            <w:right w:val="none" w:sz="0" w:space="0" w:color="auto"/>
          </w:divBdr>
          <w:divsChild>
            <w:div w:id="813060039">
              <w:marLeft w:val="0"/>
              <w:marRight w:val="0"/>
              <w:marTop w:val="0"/>
              <w:marBottom w:val="0"/>
              <w:divBdr>
                <w:top w:val="none" w:sz="0" w:space="0" w:color="auto"/>
                <w:left w:val="none" w:sz="0" w:space="0" w:color="auto"/>
                <w:bottom w:val="none" w:sz="0" w:space="0" w:color="auto"/>
                <w:right w:val="none" w:sz="0" w:space="0" w:color="auto"/>
              </w:divBdr>
            </w:div>
            <w:div w:id="513614045">
              <w:marLeft w:val="0"/>
              <w:marRight w:val="0"/>
              <w:marTop w:val="0"/>
              <w:marBottom w:val="0"/>
              <w:divBdr>
                <w:top w:val="none" w:sz="0" w:space="0" w:color="auto"/>
                <w:left w:val="none" w:sz="0" w:space="0" w:color="auto"/>
                <w:bottom w:val="none" w:sz="0" w:space="0" w:color="auto"/>
                <w:right w:val="none" w:sz="0" w:space="0" w:color="auto"/>
              </w:divBdr>
            </w:div>
          </w:divsChild>
        </w:div>
        <w:div w:id="1951157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knight.org/programs/the-mcknight-endowment-fund-for-neuroscience/" TargetMode="External"/><Relationship Id="rId13" Type="http://schemas.openxmlformats.org/officeDocument/2006/relationships/hyperlink" Target="https://www.parkins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hitehall.org/" TargetMode="External"/><Relationship Id="rId17" Type="http://schemas.openxmlformats.org/officeDocument/2006/relationships/hyperlink" Target="https://www.russellsage.org/" TargetMode="External"/><Relationship Id="rId2" Type="http://schemas.openxmlformats.org/officeDocument/2006/relationships/customXml" Target="../customXml/item2.xml"/><Relationship Id="rId16" Type="http://schemas.openxmlformats.org/officeDocument/2006/relationships/hyperlink" Target="http://macyfoundation.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ressfoundation.org/" TargetMode="External"/><Relationship Id="rId5" Type="http://schemas.openxmlformats.org/officeDocument/2006/relationships/styles" Target="styles.xml"/><Relationship Id="rId15" Type="http://schemas.openxmlformats.org/officeDocument/2006/relationships/hyperlink" Target="https://www.spencer.org/" TargetMode="External"/><Relationship Id="rId10" Type="http://schemas.openxmlformats.org/officeDocument/2006/relationships/hyperlink" Target="http://wtgrantfoundation.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pancreaticcanceraction.org/" TargetMode="External"/><Relationship Id="rId14" Type="http://schemas.openxmlformats.org/officeDocument/2006/relationships/hyperlink" Target="https://www.pco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FD635D4184A409C033C5160A7F98B" ma:contentTypeVersion="0" ma:contentTypeDescription="Create a new document." ma:contentTypeScope="" ma:versionID="a30bf01dd7ea252784ee7e4f6e0b610f">
  <xsd:schema xmlns:xsd="http://www.w3.org/2001/XMLSchema" xmlns:xs="http://www.w3.org/2001/XMLSchema" xmlns:p="http://schemas.microsoft.com/office/2006/metadata/properties" xmlns:ns2="176ac7be-6524-4efe-88e3-fa97a8e6ea56" targetNamespace="http://schemas.microsoft.com/office/2006/metadata/properties" ma:root="true" ma:fieldsID="a548d8ffba7ffecd67a11fcc9cb7476c" ns2:_="">
    <xsd:import namespace="176ac7be-6524-4efe-88e3-fa97a8e6ea5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ac7be-6524-4efe-88e3-fa97a8e6ea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76ac7be-6524-4efe-88e3-fa97a8e6ea56">MQZRPZFRDCNR-553-2160</_dlc_DocId>
    <_dlc_DocIdUrl xmlns="176ac7be-6524-4efe-88e3-fa97a8e6ea56">
      <Url>https://portal.vtdev.vt.edu/CO/F/_layouts/DocIdRedir.aspx?ID=MQZRPZFRDCNR-553-2160</Url>
      <Description>MQZRPZFRDCNR-553-2160</Description>
    </_dlc_DocIdUrl>
  </documentManagement>
</p:properties>
</file>

<file path=customXml/itemProps1.xml><?xml version="1.0" encoding="utf-8"?>
<ds:datastoreItem xmlns:ds="http://schemas.openxmlformats.org/officeDocument/2006/customXml" ds:itemID="{D1D0C897-C33E-430A-965B-4C6547A22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ac7be-6524-4efe-88e3-fa97a8e6e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A2AFD-DA86-4FFB-B6BA-6107A5318FD8}">
  <ds:schemaRefs>
    <ds:schemaRef ds:uri="http://schemas.microsoft.com/sharepoint/events"/>
  </ds:schemaRefs>
</ds:datastoreItem>
</file>

<file path=customXml/itemProps3.xml><?xml version="1.0" encoding="utf-8"?>
<ds:datastoreItem xmlns:ds="http://schemas.openxmlformats.org/officeDocument/2006/customXml" ds:itemID="{6949B22B-AF70-4ED0-941F-DBF3818BF2D9}">
  <ds:schemaRefs>
    <ds:schemaRef ds:uri="http://schemas.microsoft.com/sharepoint/v3/contenttype/forms"/>
  </ds:schemaRefs>
</ds:datastoreItem>
</file>

<file path=customXml/itemProps4.xml><?xml version="1.0" encoding="utf-8"?>
<ds:datastoreItem xmlns:ds="http://schemas.openxmlformats.org/officeDocument/2006/customXml" ds:itemID="{9C6CB516-3F7A-42C3-A1C8-FF22C9503350}">
  <ds:schemaRefs>
    <ds:schemaRef ds:uri="http://schemas.microsoft.com/office/2006/metadata/properties"/>
    <ds:schemaRef ds:uri="http://schemas.microsoft.com/office/infopath/2007/PartnerControls"/>
    <ds:schemaRef ds:uri="176ac7be-6524-4efe-88e3-fa97a8e6ea56"/>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Development</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Krauchun, Tracy</dc:creator>
  <cp:keywords/>
  <dc:description/>
  <cp:lastModifiedBy>Krauchun, Tracy</cp:lastModifiedBy>
  <cp:revision>4</cp:revision>
  <dcterms:created xsi:type="dcterms:W3CDTF">2018-10-16T16:04:00Z</dcterms:created>
  <dcterms:modified xsi:type="dcterms:W3CDTF">2018-12-03T13:36:00Z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0x010100C6AFD635D4184A409C033C5160A7F98B</vt:lpwstr>
  </property>
  <property fmtid="{D5CDD505-2E9C-101B-9397-08002B2CF9AE}" pid="3" name="_dlc_DocIdItemGuid">
    <vt:lpwstr>e245e1d2-0beb-487a-b37b-aa6feb9a69bd</vt:lpwstr>
  </property>
</Properties>
</file>